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616.314-</w:t>
      </w:r>
      <w:r>
        <w:rPr>
          <w:b/>
          <w:sz w:val="28"/>
          <w:szCs w:val="28"/>
        </w:rPr>
        <w:t>83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4063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C331p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20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Carvalho, Hanna Alice de Almeida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PERCEPÇÃO E CONDUTA DOS ACADÊMICOS DA FACULDADE DE ODONTOLOGIA DO RECIFE FRENTE AOS CASOS DE VIOLÊNCIA CONTRA A MULHER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>. Ms</w:t>
      </w:r>
      <w:r>
        <w:rPr>
          <w:b/>
          <w:sz w:val="28"/>
          <w:szCs w:val="28"/>
        </w:rPr>
        <w:t>. Alcieros Martins da Paz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20</w:t>
      </w:r>
      <w:r>
        <w:rPr>
          <w:b/>
        </w:rPr>
        <w:t xml:space="preserve">  Páginas:  </w:t>
      </w:r>
      <w:r>
        <w:rPr>
          <w:b/>
        </w:rPr>
        <w:t>22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20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</Pages>
  <Words>72</Words>
  <Characters>418</Characters>
  <CharactersWithSpaces>637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2023-03-20T13:16:26Z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