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3872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D752t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9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Dowsley, Maria Luiza Rocha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 xml:space="preserve">TRATAMENTO DE PERI-IMPLANTITE RETRÓGRADA NO ELEMENTO 21: relato de caso clínico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Alisson Guedes Pessôa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9</w:t>
      </w:r>
      <w:r>
        <w:rPr>
          <w:b/>
        </w:rPr>
        <w:t xml:space="preserve">  Páginas:  </w:t>
      </w:r>
      <w:r>
        <w:rPr>
          <w:b/>
        </w:rPr>
        <w:t>25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9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1</Pages>
  <Words>61</Words>
  <Characters>374</Characters>
  <CharactersWithSpaces>583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2023-03-20T10:01:28Z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